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EEAD" w14:textId="77777777" w:rsidR="00B4759E" w:rsidRPr="00B4759E" w:rsidRDefault="00B4759E" w:rsidP="00B4759E">
      <w:r w:rsidRPr="00B4759E">
        <w:t xml:space="preserve"> </w:t>
      </w:r>
      <w:r w:rsidRPr="00B4759E">
        <w:rPr>
          <w:b/>
          <w:bCs/>
        </w:rPr>
        <w:t xml:space="preserve">Strategic Tourism Infrastructure: Partnerships &amp; Economic Value </w:t>
      </w:r>
    </w:p>
    <w:p w14:paraId="18911CC5" w14:textId="77777777" w:rsidR="00B4759E" w:rsidRPr="00B4759E" w:rsidRDefault="00B4759E" w:rsidP="00B4759E">
      <w:r w:rsidRPr="00B4759E">
        <w:t xml:space="preserve">Tourism is the backbone of our local economy, supporting 19% of all employment across the district. Our memberships in regional and national tourism organisations are not merely optional subscriptions; they represent the critical infrastructure required to drive visitor spend into our towns. These partnerships provide the essential platform for marketing Ramsgate and Broadstairs to high-value audiences and ensure we gain sector intelligence and have a seat at the table when discussing regional and national policy and strategy. </w:t>
      </w:r>
    </w:p>
    <w:tbl>
      <w:tblPr>
        <w:tblW w:w="10206" w:type="dxa"/>
        <w:tblInd w:w="-62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61"/>
        <w:gridCol w:w="2976"/>
        <w:gridCol w:w="3969"/>
      </w:tblGrid>
      <w:tr w:rsidR="00B4759E" w:rsidRPr="00B4759E" w14:paraId="04AB4732" w14:textId="77777777" w:rsidTr="00B4759E">
        <w:tblPrEx>
          <w:tblCellMar>
            <w:top w:w="0" w:type="dxa"/>
            <w:bottom w:w="0" w:type="dxa"/>
          </w:tblCellMar>
        </w:tblPrEx>
        <w:trPr>
          <w:trHeight w:val="279"/>
        </w:trPr>
        <w:tc>
          <w:tcPr>
            <w:tcW w:w="3261" w:type="dxa"/>
            <w:tcBorders>
              <w:top w:val="none" w:sz="6" w:space="0" w:color="auto"/>
              <w:bottom w:val="none" w:sz="6" w:space="0" w:color="auto"/>
              <w:right w:val="none" w:sz="6" w:space="0" w:color="auto"/>
            </w:tcBorders>
          </w:tcPr>
          <w:p w14:paraId="120974B5" w14:textId="77777777" w:rsidR="00B4759E" w:rsidRPr="00B4759E" w:rsidRDefault="00B4759E" w:rsidP="00B4759E">
            <w:r w:rsidRPr="00B4759E">
              <w:t xml:space="preserve">To protect our competitive position against other UK destinations, we must maintain these memberships. The table below outlines how these strategic investments directly translate into visibility, market reach, and political influence for our coastline. </w:t>
            </w:r>
            <w:r w:rsidRPr="00B4759E">
              <w:rPr>
                <w:b/>
                <w:bCs/>
              </w:rPr>
              <w:t xml:space="preserve">Organisation </w:t>
            </w:r>
          </w:p>
        </w:tc>
        <w:tc>
          <w:tcPr>
            <w:tcW w:w="2976" w:type="dxa"/>
            <w:tcBorders>
              <w:top w:val="none" w:sz="6" w:space="0" w:color="auto"/>
              <w:left w:val="none" w:sz="6" w:space="0" w:color="auto"/>
              <w:bottom w:val="none" w:sz="6" w:space="0" w:color="auto"/>
              <w:right w:val="none" w:sz="6" w:space="0" w:color="auto"/>
            </w:tcBorders>
          </w:tcPr>
          <w:p w14:paraId="0FCEEDA4" w14:textId="77777777" w:rsidR="00B4759E" w:rsidRPr="00B4759E" w:rsidRDefault="00B4759E" w:rsidP="00B4759E">
            <w:r w:rsidRPr="00B4759E">
              <w:rPr>
                <w:b/>
                <w:bCs/>
              </w:rPr>
              <w:t xml:space="preserve">Annual Investment </w:t>
            </w:r>
          </w:p>
        </w:tc>
        <w:tc>
          <w:tcPr>
            <w:tcW w:w="3969" w:type="dxa"/>
            <w:tcBorders>
              <w:top w:val="none" w:sz="6" w:space="0" w:color="auto"/>
              <w:left w:val="none" w:sz="6" w:space="0" w:color="auto"/>
              <w:bottom w:val="none" w:sz="6" w:space="0" w:color="auto"/>
            </w:tcBorders>
          </w:tcPr>
          <w:p w14:paraId="107F74AA" w14:textId="77777777" w:rsidR="00B4759E" w:rsidRPr="00B4759E" w:rsidRDefault="00B4759E" w:rsidP="00B4759E">
            <w:r w:rsidRPr="00B4759E">
              <w:rPr>
                <w:b/>
                <w:bCs/>
              </w:rPr>
              <w:t xml:space="preserve">Value </w:t>
            </w:r>
          </w:p>
        </w:tc>
      </w:tr>
      <w:tr w:rsidR="00B4759E" w:rsidRPr="00B4759E" w14:paraId="75EF3481" w14:textId="77777777" w:rsidTr="00B4759E">
        <w:tblPrEx>
          <w:tblCellMar>
            <w:top w:w="0" w:type="dxa"/>
            <w:bottom w:w="0" w:type="dxa"/>
          </w:tblCellMar>
        </w:tblPrEx>
        <w:trPr>
          <w:trHeight w:val="1665"/>
        </w:trPr>
        <w:tc>
          <w:tcPr>
            <w:tcW w:w="3261" w:type="dxa"/>
            <w:tcBorders>
              <w:top w:val="none" w:sz="6" w:space="0" w:color="auto"/>
              <w:bottom w:val="none" w:sz="6" w:space="0" w:color="auto"/>
              <w:right w:val="none" w:sz="6" w:space="0" w:color="auto"/>
            </w:tcBorders>
          </w:tcPr>
          <w:p w14:paraId="39D70DCD" w14:textId="77777777" w:rsidR="00B4759E" w:rsidRPr="00B4759E" w:rsidRDefault="00B4759E" w:rsidP="00B4759E">
            <w:r w:rsidRPr="00B4759E">
              <w:rPr>
                <w:b/>
                <w:bCs/>
              </w:rPr>
              <w:t xml:space="preserve">Visit Kent / Grow Kent </w:t>
            </w:r>
          </w:p>
          <w:p w14:paraId="0A3933A3" w14:textId="77777777" w:rsidR="00B4759E" w:rsidRPr="00B4759E" w:rsidRDefault="00B4759E" w:rsidP="00B4759E">
            <w:r w:rsidRPr="00B4759E">
              <w:rPr>
                <w:i/>
                <w:iCs/>
              </w:rPr>
              <w:t xml:space="preserve">The official Destination Management Organisation for Kent and Medway. </w:t>
            </w:r>
          </w:p>
          <w:p w14:paraId="4F7EB69A" w14:textId="77777777" w:rsidR="00B4759E" w:rsidRPr="00B4759E" w:rsidRDefault="00B4759E" w:rsidP="00B4759E">
            <w:r w:rsidRPr="00B4759E">
              <w:rPr>
                <w:i/>
                <w:iCs/>
              </w:rPr>
              <w:t xml:space="preserve">Awaiting Local Visitor Economy Partnership status with Visit England. </w:t>
            </w:r>
          </w:p>
        </w:tc>
        <w:tc>
          <w:tcPr>
            <w:tcW w:w="2976" w:type="dxa"/>
            <w:tcBorders>
              <w:top w:val="none" w:sz="6" w:space="0" w:color="auto"/>
              <w:left w:val="none" w:sz="6" w:space="0" w:color="auto"/>
              <w:bottom w:val="none" w:sz="6" w:space="0" w:color="auto"/>
              <w:right w:val="none" w:sz="6" w:space="0" w:color="auto"/>
            </w:tcBorders>
          </w:tcPr>
          <w:p w14:paraId="4B30093D" w14:textId="77777777" w:rsidR="00B4759E" w:rsidRPr="00B4759E" w:rsidRDefault="00B4759E" w:rsidP="00B4759E">
            <w:r w:rsidRPr="00B4759E">
              <w:t xml:space="preserve">£6,000 </w:t>
            </w:r>
          </w:p>
          <w:p w14:paraId="0CDF3418" w14:textId="77777777" w:rsidR="00B4759E" w:rsidRPr="00B4759E" w:rsidRDefault="00B4759E" w:rsidP="00B4759E">
            <w:r w:rsidRPr="00B4759E">
              <w:rPr>
                <w:i/>
                <w:iCs/>
              </w:rPr>
              <w:t xml:space="preserve">(Standard rate for local authorities) </w:t>
            </w:r>
          </w:p>
          <w:p w14:paraId="69DE2268" w14:textId="77777777" w:rsidR="00B4759E" w:rsidRPr="00B4759E" w:rsidRDefault="00B4759E" w:rsidP="00B4759E">
            <w:r w:rsidRPr="00B4759E">
              <w:rPr>
                <w:i/>
                <w:iCs/>
              </w:rPr>
              <w:t xml:space="preserve">£3,500 from September </w:t>
            </w:r>
          </w:p>
        </w:tc>
        <w:tc>
          <w:tcPr>
            <w:tcW w:w="3969" w:type="dxa"/>
            <w:tcBorders>
              <w:top w:val="none" w:sz="6" w:space="0" w:color="auto"/>
              <w:left w:val="none" w:sz="6" w:space="0" w:color="auto"/>
              <w:bottom w:val="none" w:sz="6" w:space="0" w:color="auto"/>
            </w:tcBorders>
          </w:tcPr>
          <w:p w14:paraId="09DAD7A3" w14:textId="77777777" w:rsidR="00B4759E" w:rsidRPr="00B4759E" w:rsidRDefault="00B4759E" w:rsidP="00B4759E">
            <w:r w:rsidRPr="00B4759E">
              <w:rPr>
                <w:b/>
                <w:bCs/>
              </w:rPr>
              <w:t xml:space="preserve">Strategic Reach: </w:t>
            </w:r>
            <w:r w:rsidRPr="00B4759E">
              <w:t xml:space="preserve">Direct access to a 35,000+ consumer database, 43,000 Instagram followers, and 32,000 Facebook fans. Includes 400+ trade database contacts. </w:t>
            </w:r>
          </w:p>
          <w:p w14:paraId="2B8F3240" w14:textId="77777777" w:rsidR="00B4759E" w:rsidRPr="00B4759E" w:rsidRDefault="00B4759E" w:rsidP="00B4759E">
            <w:r w:rsidRPr="00B4759E">
              <w:t xml:space="preserve">Optional buy-in opportunities to enhance exposure in campaigns </w:t>
            </w:r>
          </w:p>
          <w:p w14:paraId="2F879745" w14:textId="77777777" w:rsidR="00B4759E" w:rsidRPr="00B4759E" w:rsidRDefault="00B4759E" w:rsidP="00B4759E">
            <w:r w:rsidRPr="00B4759E">
              <w:rPr>
                <w:b/>
                <w:bCs/>
              </w:rPr>
              <w:t xml:space="preserve">Competitive Edge: </w:t>
            </w:r>
            <w:r w:rsidRPr="00B4759E">
              <w:t xml:space="preserve">Ensures our towns are featured in regional campaigns and allows us to work directly with </w:t>
            </w:r>
            <w:proofErr w:type="spellStart"/>
            <w:r w:rsidRPr="00B4759E">
              <w:t>VisitEngland</w:t>
            </w:r>
            <w:proofErr w:type="spellEnd"/>
            <w:r w:rsidRPr="00B4759E">
              <w:t xml:space="preserve"> to leverage national intelligence and marketing. </w:t>
            </w:r>
          </w:p>
          <w:p w14:paraId="7FC2F99F" w14:textId="77777777" w:rsidR="00B4759E" w:rsidRPr="00B4759E" w:rsidRDefault="00B4759E" w:rsidP="00B4759E">
            <w:r w:rsidRPr="00B4759E">
              <w:rPr>
                <w:b/>
                <w:bCs/>
              </w:rPr>
              <w:t xml:space="preserve">Influence: </w:t>
            </w:r>
            <w:r w:rsidRPr="00B4759E">
              <w:t xml:space="preserve">Provides high-level advocacy and a voice to lobby national bodies on the Kent visitor economy. </w:t>
            </w:r>
          </w:p>
        </w:tc>
      </w:tr>
      <w:tr w:rsidR="00B4759E" w:rsidRPr="00B4759E" w14:paraId="220E953F" w14:textId="77777777" w:rsidTr="00B4759E">
        <w:tblPrEx>
          <w:tblCellMar>
            <w:top w:w="0" w:type="dxa"/>
            <w:bottom w:w="0" w:type="dxa"/>
          </w:tblCellMar>
        </w:tblPrEx>
        <w:trPr>
          <w:trHeight w:val="1412"/>
        </w:trPr>
        <w:tc>
          <w:tcPr>
            <w:tcW w:w="3261" w:type="dxa"/>
            <w:tcBorders>
              <w:top w:val="none" w:sz="6" w:space="0" w:color="auto"/>
              <w:bottom w:val="none" w:sz="6" w:space="0" w:color="auto"/>
              <w:right w:val="none" w:sz="6" w:space="0" w:color="auto"/>
            </w:tcBorders>
          </w:tcPr>
          <w:p w14:paraId="74BE40DB" w14:textId="77777777" w:rsidR="00B4759E" w:rsidRPr="00B4759E" w:rsidRDefault="00B4759E" w:rsidP="00B4759E">
            <w:r w:rsidRPr="00B4759E">
              <w:rPr>
                <w:b/>
                <w:bCs/>
              </w:rPr>
              <w:lastRenderedPageBreak/>
              <w:t xml:space="preserve">Tourism </w:t>
            </w:r>
            <w:proofErr w:type="gramStart"/>
            <w:r w:rsidRPr="00B4759E">
              <w:rPr>
                <w:b/>
                <w:bCs/>
              </w:rPr>
              <w:t>South East</w:t>
            </w:r>
            <w:proofErr w:type="gramEnd"/>
            <w:r w:rsidRPr="00B4759E">
              <w:rPr>
                <w:b/>
                <w:bCs/>
              </w:rPr>
              <w:t xml:space="preserve"> </w:t>
            </w:r>
          </w:p>
          <w:p w14:paraId="41CB0579" w14:textId="77777777" w:rsidR="00B4759E" w:rsidRPr="00B4759E" w:rsidRDefault="00B4759E" w:rsidP="00B4759E">
            <w:r w:rsidRPr="00B4759E">
              <w:rPr>
                <w:i/>
                <w:iCs/>
              </w:rPr>
              <w:t xml:space="preserve">Regional Tourism Body </w:t>
            </w:r>
          </w:p>
        </w:tc>
        <w:tc>
          <w:tcPr>
            <w:tcW w:w="2976" w:type="dxa"/>
            <w:tcBorders>
              <w:top w:val="none" w:sz="6" w:space="0" w:color="auto"/>
              <w:left w:val="none" w:sz="6" w:space="0" w:color="auto"/>
              <w:bottom w:val="none" w:sz="6" w:space="0" w:color="auto"/>
              <w:right w:val="none" w:sz="6" w:space="0" w:color="auto"/>
            </w:tcBorders>
          </w:tcPr>
          <w:p w14:paraId="249DCCCC" w14:textId="77777777" w:rsidR="00B4759E" w:rsidRPr="00B4759E" w:rsidRDefault="00B4759E" w:rsidP="00B4759E">
            <w:r w:rsidRPr="00B4759E">
              <w:t xml:space="preserve">£1,800 </w:t>
            </w:r>
          </w:p>
        </w:tc>
        <w:tc>
          <w:tcPr>
            <w:tcW w:w="3969" w:type="dxa"/>
            <w:tcBorders>
              <w:top w:val="none" w:sz="6" w:space="0" w:color="auto"/>
              <w:left w:val="none" w:sz="6" w:space="0" w:color="auto"/>
              <w:bottom w:val="none" w:sz="6" w:space="0" w:color="auto"/>
            </w:tcBorders>
          </w:tcPr>
          <w:p w14:paraId="54C67FC8" w14:textId="77777777" w:rsidR="00B4759E" w:rsidRPr="00B4759E" w:rsidRDefault="00B4759E" w:rsidP="00B4759E">
            <w:r w:rsidRPr="00B4759E">
              <w:rPr>
                <w:b/>
                <w:bCs/>
              </w:rPr>
              <w:t xml:space="preserve">Strategic Reach: </w:t>
            </w:r>
            <w:r w:rsidRPr="00B4759E">
              <w:t xml:space="preserve">Distribution through large-scale digital channels and specialist travel trade networks. </w:t>
            </w:r>
          </w:p>
          <w:p w14:paraId="5E20F50B" w14:textId="77777777" w:rsidR="00B4759E" w:rsidRPr="00B4759E" w:rsidRDefault="00B4759E" w:rsidP="00B4759E">
            <w:r w:rsidRPr="00B4759E">
              <w:rPr>
                <w:b/>
                <w:bCs/>
              </w:rPr>
              <w:t xml:space="preserve">Competitive Edge: </w:t>
            </w:r>
            <w:r w:rsidRPr="00B4759E">
              <w:t xml:space="preserve">Representation at international trade shows (e.g., Dutch and Destination </w:t>
            </w:r>
            <w:proofErr w:type="gramStart"/>
            <w:r w:rsidRPr="00B4759E">
              <w:t>shows</w:t>
            </w:r>
            <w:proofErr w:type="gramEnd"/>
            <w:r w:rsidRPr="00B4759E">
              <w:t xml:space="preserve">) specifically targeting visitors who spend more and stay longer. </w:t>
            </w:r>
          </w:p>
          <w:p w14:paraId="31659B96" w14:textId="77777777" w:rsidR="00B4759E" w:rsidRPr="00B4759E" w:rsidRDefault="00B4759E" w:rsidP="00B4759E">
            <w:r w:rsidRPr="00B4759E">
              <w:rPr>
                <w:b/>
                <w:bCs/>
              </w:rPr>
              <w:t xml:space="preserve">Influence: </w:t>
            </w:r>
            <w:r w:rsidRPr="00B4759E">
              <w:t xml:space="preserve">Direct support for the Creative Isle campaign, ensuring our unique local identity is protected within the wider </w:t>
            </w:r>
            <w:proofErr w:type="gramStart"/>
            <w:r w:rsidRPr="00B4759E">
              <w:t>South East</w:t>
            </w:r>
            <w:proofErr w:type="gramEnd"/>
            <w:r w:rsidRPr="00B4759E">
              <w:t xml:space="preserve"> offering. </w:t>
            </w:r>
          </w:p>
        </w:tc>
      </w:tr>
      <w:tr w:rsidR="00B4759E" w:rsidRPr="00B4759E" w14:paraId="17E1EE83" w14:textId="77777777" w:rsidTr="00B4759E">
        <w:tblPrEx>
          <w:tblCellMar>
            <w:top w:w="0" w:type="dxa"/>
            <w:bottom w:w="0" w:type="dxa"/>
          </w:tblCellMar>
        </w:tblPrEx>
        <w:trPr>
          <w:trHeight w:val="906"/>
        </w:trPr>
        <w:tc>
          <w:tcPr>
            <w:tcW w:w="3261" w:type="dxa"/>
            <w:tcBorders>
              <w:top w:val="none" w:sz="6" w:space="0" w:color="auto"/>
              <w:bottom w:val="none" w:sz="6" w:space="0" w:color="auto"/>
              <w:right w:val="none" w:sz="6" w:space="0" w:color="auto"/>
            </w:tcBorders>
          </w:tcPr>
          <w:p w14:paraId="24805DDE" w14:textId="77777777" w:rsidR="00B4759E" w:rsidRPr="00B4759E" w:rsidRDefault="00B4759E" w:rsidP="00B4759E">
            <w:r w:rsidRPr="00B4759E">
              <w:rPr>
                <w:b/>
                <w:bCs/>
              </w:rPr>
              <w:t xml:space="preserve">National Coastal Tourism Academy </w:t>
            </w:r>
          </w:p>
          <w:p w14:paraId="6B9DC82A" w14:textId="77777777" w:rsidR="00B4759E" w:rsidRPr="00B4759E" w:rsidRDefault="00B4759E" w:rsidP="00B4759E">
            <w:r w:rsidRPr="00B4759E">
              <w:rPr>
                <w:i/>
                <w:iCs/>
              </w:rPr>
              <w:t xml:space="preserve">(England's Coast) </w:t>
            </w:r>
          </w:p>
        </w:tc>
        <w:tc>
          <w:tcPr>
            <w:tcW w:w="2976" w:type="dxa"/>
            <w:tcBorders>
              <w:top w:val="none" w:sz="6" w:space="0" w:color="auto"/>
              <w:left w:val="none" w:sz="6" w:space="0" w:color="auto"/>
              <w:bottom w:val="none" w:sz="6" w:space="0" w:color="auto"/>
              <w:right w:val="none" w:sz="6" w:space="0" w:color="auto"/>
            </w:tcBorders>
          </w:tcPr>
          <w:p w14:paraId="1F14EE24" w14:textId="77777777" w:rsidR="00B4759E" w:rsidRPr="00B4759E" w:rsidRDefault="00B4759E" w:rsidP="00B4759E">
            <w:r w:rsidRPr="00B4759E">
              <w:t xml:space="preserve">£2,950 </w:t>
            </w:r>
          </w:p>
        </w:tc>
        <w:tc>
          <w:tcPr>
            <w:tcW w:w="3969" w:type="dxa"/>
            <w:tcBorders>
              <w:top w:val="none" w:sz="6" w:space="0" w:color="auto"/>
              <w:left w:val="none" w:sz="6" w:space="0" w:color="auto"/>
              <w:bottom w:val="none" w:sz="6" w:space="0" w:color="auto"/>
            </w:tcBorders>
          </w:tcPr>
          <w:p w14:paraId="0100B0BA" w14:textId="77777777" w:rsidR="00B4759E" w:rsidRPr="00B4759E" w:rsidRDefault="00B4759E" w:rsidP="00B4759E">
            <w:r w:rsidRPr="00B4759E">
              <w:rPr>
                <w:b/>
                <w:bCs/>
              </w:rPr>
              <w:t xml:space="preserve">Strategic Reach: </w:t>
            </w:r>
            <w:r w:rsidRPr="00B4759E">
              <w:t xml:space="preserve">International audience of 150,000+ across six languages. Newsletter reach of 14,500. </w:t>
            </w:r>
          </w:p>
          <w:p w14:paraId="1288744A" w14:textId="77777777" w:rsidR="00B4759E" w:rsidRPr="00B4759E" w:rsidRDefault="00B4759E" w:rsidP="00B4759E">
            <w:r w:rsidRPr="00B4759E">
              <w:rPr>
                <w:b/>
                <w:bCs/>
              </w:rPr>
              <w:t xml:space="preserve">Competitive Edge: </w:t>
            </w:r>
            <w:r w:rsidRPr="00B4759E">
              <w:t xml:space="preserve">Inclusion in "Coast is Calling" national campaigns, essential for maintaining visibility as a premier seaside destination. </w:t>
            </w:r>
          </w:p>
        </w:tc>
      </w:tr>
    </w:tbl>
    <w:p w14:paraId="0D59E3AC" w14:textId="72FC6DFB" w:rsidR="00E567AA" w:rsidRDefault="00B4759E">
      <w:r w:rsidRPr="00B4759E">
        <w:t>Prepared by PH - 24th June 2026 for Broadstairs and Ramsgate Town Councils</w:t>
      </w:r>
    </w:p>
    <w:sectPr w:rsidR="00E567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59E"/>
    <w:rsid w:val="00740294"/>
    <w:rsid w:val="007C28BB"/>
    <w:rsid w:val="00B4759E"/>
    <w:rsid w:val="00E56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A883"/>
  <w15:chartTrackingRefBased/>
  <w15:docId w15:val="{2115AC81-EA69-4B42-99B0-EFB3AED0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5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5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59E"/>
    <w:rPr>
      <w:rFonts w:eastAsiaTheme="majorEastAsia" w:cstheme="majorBidi"/>
      <w:color w:val="272727" w:themeColor="text1" w:themeTint="D8"/>
    </w:rPr>
  </w:style>
  <w:style w:type="paragraph" w:styleId="Title">
    <w:name w:val="Title"/>
    <w:basedOn w:val="Normal"/>
    <w:next w:val="Normal"/>
    <w:link w:val="TitleChar"/>
    <w:uiPriority w:val="10"/>
    <w:qFormat/>
    <w:rsid w:val="00B47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59E"/>
    <w:pPr>
      <w:spacing w:before="160"/>
      <w:jc w:val="center"/>
    </w:pPr>
    <w:rPr>
      <w:i/>
      <w:iCs/>
      <w:color w:val="404040" w:themeColor="text1" w:themeTint="BF"/>
    </w:rPr>
  </w:style>
  <w:style w:type="character" w:customStyle="1" w:styleId="QuoteChar">
    <w:name w:val="Quote Char"/>
    <w:basedOn w:val="DefaultParagraphFont"/>
    <w:link w:val="Quote"/>
    <w:uiPriority w:val="29"/>
    <w:rsid w:val="00B4759E"/>
    <w:rPr>
      <w:i/>
      <w:iCs/>
      <w:color w:val="404040" w:themeColor="text1" w:themeTint="BF"/>
    </w:rPr>
  </w:style>
  <w:style w:type="paragraph" w:styleId="ListParagraph">
    <w:name w:val="List Paragraph"/>
    <w:basedOn w:val="Normal"/>
    <w:uiPriority w:val="34"/>
    <w:qFormat/>
    <w:rsid w:val="00B4759E"/>
    <w:pPr>
      <w:ind w:left="720"/>
      <w:contextualSpacing/>
    </w:pPr>
  </w:style>
  <w:style w:type="character" w:styleId="IntenseEmphasis">
    <w:name w:val="Intense Emphasis"/>
    <w:basedOn w:val="DefaultParagraphFont"/>
    <w:uiPriority w:val="21"/>
    <w:qFormat/>
    <w:rsid w:val="00B4759E"/>
    <w:rPr>
      <w:i/>
      <w:iCs/>
      <w:color w:val="0F4761" w:themeColor="accent1" w:themeShade="BF"/>
    </w:rPr>
  </w:style>
  <w:style w:type="paragraph" w:styleId="IntenseQuote">
    <w:name w:val="Intense Quote"/>
    <w:basedOn w:val="Normal"/>
    <w:next w:val="Normal"/>
    <w:link w:val="IntenseQuoteChar"/>
    <w:uiPriority w:val="30"/>
    <w:qFormat/>
    <w:rsid w:val="00B47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59E"/>
    <w:rPr>
      <w:i/>
      <w:iCs/>
      <w:color w:val="0F4761" w:themeColor="accent1" w:themeShade="BF"/>
    </w:rPr>
  </w:style>
  <w:style w:type="character" w:styleId="IntenseReference">
    <w:name w:val="Intense Reference"/>
    <w:basedOn w:val="DefaultParagraphFont"/>
    <w:uiPriority w:val="32"/>
    <w:qFormat/>
    <w:rsid w:val="00B475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AF1F58785C34CAB8B81F6D7B86EB8" ma:contentTypeVersion="21" ma:contentTypeDescription="Create a new document." ma:contentTypeScope="" ma:versionID="f75801a06610cf5f3287875db661a4d5">
  <xsd:schema xmlns:xsd="http://www.w3.org/2001/XMLSchema" xmlns:xs="http://www.w3.org/2001/XMLSchema" xmlns:p="http://schemas.microsoft.com/office/2006/metadata/properties" xmlns:ns2="595da34b-caa2-49fd-94b1-ba0549db8da3" xmlns:ns3="a434b5c5-ecfb-45f5-8842-3f503384972f" targetNamespace="http://schemas.microsoft.com/office/2006/metadata/properties" ma:root="true" ma:fieldsID="5425f08fb7e6f5d84e35a4276586d15e" ns2:_="" ns3:_="">
    <xsd:import namespace="595da34b-caa2-49fd-94b1-ba0549db8da3"/>
    <xsd:import namespace="a434b5c5-ecfb-45f5-8842-3f50338497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da34b-caa2-49fd-94b1-ba0549db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958b0a-2d43-41a4-9938-ba1ed99599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4b5c5-ecfb-45f5-8842-3f50338497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19905b-a186-4376-b22a-30da9b016530}" ma:internalName="TaxCatchAll" ma:showField="CatchAllData" ma:web="a434b5c5-ecfb-45f5-8842-3f503384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5da34b-caa2-49fd-94b1-ba0549db8da3">
      <Terms xmlns="http://schemas.microsoft.com/office/infopath/2007/PartnerControls"/>
    </lcf76f155ced4ddcb4097134ff3c332f>
    <TaxCatchAll xmlns="a434b5c5-ecfb-45f5-8842-3f503384972f" xsi:nil="true"/>
  </documentManagement>
</p:properties>
</file>

<file path=customXml/itemProps1.xml><?xml version="1.0" encoding="utf-8"?>
<ds:datastoreItem xmlns:ds="http://schemas.openxmlformats.org/officeDocument/2006/customXml" ds:itemID="{F4ADA777-6B68-4A84-AF03-E859BB7A1AF1}"/>
</file>

<file path=customXml/itemProps2.xml><?xml version="1.0" encoding="utf-8"?>
<ds:datastoreItem xmlns:ds="http://schemas.openxmlformats.org/officeDocument/2006/customXml" ds:itemID="{C28CAD6D-ECC6-4637-8697-0B13D9353167}"/>
</file>

<file path=customXml/itemProps3.xml><?xml version="1.0" encoding="utf-8"?>
<ds:datastoreItem xmlns:ds="http://schemas.openxmlformats.org/officeDocument/2006/customXml" ds:itemID="{277CD478-8DBB-4095-AD71-082EE3B65072}"/>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1</cp:revision>
  <dcterms:created xsi:type="dcterms:W3CDTF">2026-07-07T13:07:00Z</dcterms:created>
  <dcterms:modified xsi:type="dcterms:W3CDTF">2026-07-07T13:08:00Z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0x01010055DAF1F58785C34CAB8B81F6D7B86EB8</vt:lpwstr>
  </property>
</Properties>
</file>